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5142C" w:rsidRPr="00030BBF" w:rsidRDefault="00F5142C" w:rsidP="00F5142C">
      <w:pPr>
        <w:pStyle w:val="Titulo1"/>
        <w:pBdr>
          <w:bottom w:val="none" w:sz="0" w:space="0" w:color="auto"/>
        </w:pBdr>
        <w:spacing w:before="0"/>
        <w:jc w:val="center"/>
        <w:rPr>
          <w:rFonts w:ascii="Tahoma" w:hAnsi="Tahoma" w:cs="Tahoma"/>
          <w:color w:val="008000"/>
          <w:sz w:val="22"/>
          <w:szCs w:val="22"/>
        </w:rPr>
      </w:pPr>
      <w:r w:rsidRPr="00030BBF">
        <w:rPr>
          <w:rFonts w:ascii="Tahoma" w:hAnsi="Tahoma" w:cs="Tahoma"/>
          <w:color w:val="008000"/>
          <w:sz w:val="22"/>
          <w:szCs w:val="22"/>
        </w:rPr>
        <w:t>REGLAMENTO DE LA LEY DE OBRAS PÚBLICAS Y SERVICIOS RELACIONADOS CON LAS MISMAS</w:t>
      </w:r>
    </w:p>
    <w:p w:rsidR="00692AD0" w:rsidRDefault="00692AD0" w:rsidP="00692AD0">
      <w:pPr>
        <w:spacing w:after="64" w:line="240" w:lineRule="auto"/>
        <w:ind w:firstLine="288"/>
        <w:jc w:val="both"/>
        <w:rPr>
          <w:rFonts w:ascii="Arial" w:eastAsia="Times New Roman" w:hAnsi="Arial" w:cs="Arial"/>
          <w:b/>
          <w:sz w:val="18"/>
          <w:szCs w:val="24"/>
          <w:lang w:eastAsia="es-ES"/>
        </w:rPr>
      </w:pPr>
    </w:p>
    <w:p w:rsidR="003613DA" w:rsidRDefault="003613DA" w:rsidP="00692AD0">
      <w:pPr>
        <w:spacing w:after="64" w:line="240" w:lineRule="auto"/>
        <w:ind w:firstLine="288"/>
        <w:jc w:val="both"/>
        <w:rPr>
          <w:rFonts w:ascii="Arial" w:eastAsia="Times New Roman" w:hAnsi="Arial" w:cs="Arial"/>
          <w:b/>
          <w:sz w:val="18"/>
          <w:szCs w:val="24"/>
          <w:lang w:eastAsia="es-ES"/>
        </w:rPr>
      </w:pPr>
    </w:p>
    <w:p w:rsidR="003613DA" w:rsidRPr="003613DA" w:rsidRDefault="003613DA" w:rsidP="003613DA">
      <w:pPr>
        <w:spacing w:after="60" w:line="240" w:lineRule="auto"/>
        <w:jc w:val="center"/>
        <w:rPr>
          <w:rFonts w:ascii="Arial" w:eastAsia="Times New Roman" w:hAnsi="Arial" w:cs="Arial"/>
          <w:b/>
          <w:sz w:val="18"/>
          <w:szCs w:val="24"/>
          <w:lang w:val="es-ES" w:eastAsia="es-ES"/>
        </w:rPr>
      </w:pPr>
      <w:r w:rsidRPr="003613DA">
        <w:rPr>
          <w:rFonts w:ascii="Arial" w:eastAsia="Times New Roman" w:hAnsi="Arial" w:cs="Arial"/>
          <w:b/>
          <w:sz w:val="18"/>
          <w:szCs w:val="24"/>
          <w:lang w:val="es-ES" w:eastAsia="es-ES"/>
        </w:rPr>
        <w:t>DE LAS GARANTÍAS</w:t>
      </w:r>
    </w:p>
    <w:p w:rsidR="003613DA" w:rsidRPr="003613DA" w:rsidRDefault="003613DA" w:rsidP="003613DA">
      <w:pPr>
        <w:spacing w:after="60" w:line="240" w:lineRule="auto"/>
        <w:ind w:firstLine="288"/>
        <w:jc w:val="both"/>
        <w:rPr>
          <w:rFonts w:ascii="Arial" w:eastAsia="Times New Roman" w:hAnsi="Arial" w:cs="Arial"/>
          <w:sz w:val="18"/>
          <w:szCs w:val="20"/>
          <w:lang w:val="es-ES" w:eastAsia="es-ES"/>
        </w:rPr>
      </w:pPr>
      <w:r w:rsidRPr="003613DA">
        <w:rPr>
          <w:rFonts w:ascii="Arial" w:eastAsia="Times New Roman" w:hAnsi="Arial" w:cs="Arial"/>
          <w:b/>
          <w:sz w:val="18"/>
          <w:szCs w:val="20"/>
          <w:lang w:val="es-ES" w:eastAsia="es-ES"/>
        </w:rPr>
        <w:t xml:space="preserve">Artículo 89.- </w:t>
      </w:r>
      <w:r w:rsidRPr="003613DA">
        <w:rPr>
          <w:rFonts w:ascii="Arial" w:eastAsia="Times New Roman" w:hAnsi="Arial" w:cs="Arial"/>
          <w:sz w:val="18"/>
          <w:szCs w:val="20"/>
          <w:lang w:val="es-ES_tradnl" w:eastAsia="es-ES"/>
        </w:rPr>
        <w:t>Para los efectos del artículo 48 de la Ley, las dependencias y entidades podrán seleccionar el tipo de garantía que más se ajuste a sus necesidades y que les permita tener la mayor certeza de que las obligaciones estarán debidamente respaldadas, debiendo considerar en todos los casos las características, magnitud y complejidad de los trabajos a realizar.</w:t>
      </w:r>
    </w:p>
    <w:p w:rsidR="003613DA" w:rsidRPr="003613DA" w:rsidRDefault="003613DA" w:rsidP="003613DA">
      <w:pPr>
        <w:spacing w:after="60" w:line="240" w:lineRule="auto"/>
        <w:ind w:firstLine="288"/>
        <w:jc w:val="both"/>
        <w:rPr>
          <w:rFonts w:ascii="Arial" w:eastAsia="Times New Roman" w:hAnsi="Arial" w:cs="Arial"/>
          <w:sz w:val="18"/>
          <w:szCs w:val="20"/>
          <w:lang w:val="es-ES" w:eastAsia="es-ES"/>
        </w:rPr>
      </w:pPr>
      <w:r w:rsidRPr="003613DA">
        <w:rPr>
          <w:rFonts w:ascii="Arial" w:eastAsia="Times New Roman" w:hAnsi="Arial" w:cs="Arial"/>
          <w:b/>
          <w:sz w:val="18"/>
          <w:szCs w:val="20"/>
          <w:lang w:val="es-ES" w:eastAsia="es-ES"/>
        </w:rPr>
        <w:t xml:space="preserve">Artículo 90.- </w:t>
      </w:r>
      <w:r w:rsidRPr="003613DA">
        <w:rPr>
          <w:rFonts w:ascii="Arial" w:eastAsia="Times New Roman" w:hAnsi="Arial" w:cs="Arial"/>
          <w:sz w:val="18"/>
          <w:szCs w:val="20"/>
          <w:lang w:val="es-ES" w:eastAsia="es-ES"/>
        </w:rPr>
        <w:t>Las dependencias y entidades podrán reducir el porcentaje de la garantía de cumplimiento cuando el contratista cuente con antecedentes de cumplimiento favorables en los términos previstos en el segundo párrafo del artículo 48 de la Ley y en los lineamientos que al efecto emita la Secretaría de la Función Pública, con base en la información actualizada que se encuentre en el registro único de contratistas, tales como no estar sancionado por la Secretaría de la Función Pública en los últimos cinco años; que no se le haya rescindido contrato alguno en el mismo periodo, o que no se le haya hecho efectiva alguna garantía.</w:t>
      </w:r>
    </w:p>
    <w:p w:rsidR="003613DA" w:rsidRPr="003613DA" w:rsidRDefault="003613DA" w:rsidP="003613DA">
      <w:pPr>
        <w:spacing w:after="60" w:line="240" w:lineRule="auto"/>
        <w:ind w:firstLine="288"/>
        <w:jc w:val="both"/>
        <w:rPr>
          <w:rFonts w:ascii="Arial" w:eastAsia="Times New Roman" w:hAnsi="Arial" w:cs="Arial"/>
          <w:sz w:val="18"/>
          <w:szCs w:val="20"/>
          <w:lang w:val="es-ES" w:eastAsia="es-ES"/>
        </w:rPr>
      </w:pPr>
      <w:r w:rsidRPr="003613DA">
        <w:rPr>
          <w:rFonts w:ascii="Arial" w:eastAsia="Times New Roman" w:hAnsi="Arial" w:cs="Arial"/>
          <w:sz w:val="18"/>
          <w:szCs w:val="20"/>
          <w:lang w:val="es-ES" w:eastAsia="es-ES"/>
        </w:rPr>
        <w:t>En los casos señalados en el párrafo anterior, el monto máximo para la aplicación de penas convencionales se calculará considerando el monto de la garantía de cumplimiento establecido en el contrato, sin tomar en cuenta el porcentaje de reducción que se le hubiere aplicado a dicha garantía.</w:t>
      </w:r>
    </w:p>
    <w:p w:rsidR="003613DA" w:rsidRPr="003613DA" w:rsidRDefault="003613DA" w:rsidP="003613DA">
      <w:pPr>
        <w:spacing w:after="60" w:line="240" w:lineRule="auto"/>
        <w:ind w:firstLine="288"/>
        <w:jc w:val="both"/>
        <w:rPr>
          <w:rFonts w:ascii="Arial" w:eastAsia="Times New Roman" w:hAnsi="Arial" w:cs="Arial"/>
          <w:sz w:val="18"/>
          <w:szCs w:val="24"/>
          <w:lang w:eastAsia="es-ES"/>
        </w:rPr>
      </w:pPr>
      <w:r w:rsidRPr="003613DA">
        <w:rPr>
          <w:rFonts w:ascii="Arial" w:eastAsia="Times New Roman" w:hAnsi="Arial" w:cs="Arial"/>
          <w:sz w:val="18"/>
          <w:szCs w:val="24"/>
          <w:lang w:val="es-ES" w:eastAsia="es-ES"/>
        </w:rPr>
        <w:t>Tratándose de</w:t>
      </w:r>
      <w:r w:rsidRPr="003613DA">
        <w:rPr>
          <w:rFonts w:ascii="Arial" w:eastAsia="Times New Roman" w:hAnsi="Arial" w:cs="Arial"/>
          <w:sz w:val="18"/>
          <w:szCs w:val="24"/>
          <w:lang w:eastAsia="es-ES"/>
        </w:rPr>
        <w:t xml:space="preserve"> los procedimientos de contratación en los que se exceptúe la presentación de garantía de cumplimiento</w:t>
      </w:r>
      <w:r w:rsidRPr="003613DA">
        <w:rPr>
          <w:rFonts w:ascii="Arial" w:eastAsia="Times New Roman" w:hAnsi="Arial" w:cs="Arial"/>
          <w:sz w:val="18"/>
          <w:szCs w:val="24"/>
          <w:lang w:val="es-ES" w:eastAsia="es-ES"/>
        </w:rPr>
        <w:t xml:space="preserve"> de contrato en los términos de la Ley, en la </w:t>
      </w:r>
      <w:r w:rsidRPr="003613DA">
        <w:rPr>
          <w:rFonts w:ascii="Arial" w:eastAsia="Times New Roman" w:hAnsi="Arial" w:cs="Arial"/>
          <w:sz w:val="18"/>
          <w:szCs w:val="24"/>
          <w:lang w:eastAsia="es-ES"/>
        </w:rPr>
        <w:t xml:space="preserve">invitación a cuando menos a tres personas o en la solicitud de cotización se </w:t>
      </w:r>
      <w:r w:rsidRPr="003613DA">
        <w:rPr>
          <w:rFonts w:ascii="Arial" w:eastAsia="Times New Roman" w:hAnsi="Arial" w:cs="Arial"/>
          <w:sz w:val="18"/>
          <w:szCs w:val="24"/>
          <w:lang w:val="es-ES" w:eastAsia="es-ES"/>
        </w:rPr>
        <w:t xml:space="preserve">indicará </w:t>
      </w:r>
      <w:r w:rsidRPr="003613DA">
        <w:rPr>
          <w:rFonts w:ascii="Arial" w:eastAsia="Times New Roman" w:hAnsi="Arial" w:cs="Arial"/>
          <w:sz w:val="18"/>
          <w:szCs w:val="24"/>
          <w:lang w:eastAsia="es-ES"/>
        </w:rPr>
        <w:t xml:space="preserve">que en las proposiciones o cotizaciones </w:t>
      </w:r>
      <w:r w:rsidRPr="003613DA">
        <w:rPr>
          <w:rFonts w:ascii="Arial" w:eastAsia="Times New Roman" w:hAnsi="Arial" w:cs="Arial"/>
          <w:sz w:val="18"/>
          <w:szCs w:val="24"/>
          <w:lang w:val="es-ES" w:eastAsia="es-ES"/>
        </w:rPr>
        <w:t xml:space="preserve">no se deberán incluir </w:t>
      </w:r>
      <w:r w:rsidRPr="003613DA">
        <w:rPr>
          <w:rFonts w:ascii="Arial" w:eastAsia="Times New Roman" w:hAnsi="Arial" w:cs="Arial"/>
          <w:sz w:val="18"/>
          <w:szCs w:val="24"/>
          <w:lang w:eastAsia="es-ES"/>
        </w:rPr>
        <w:t>los costos por dicho concepto.</w:t>
      </w:r>
    </w:p>
    <w:p w:rsidR="003613DA" w:rsidRPr="003613DA" w:rsidRDefault="003613DA" w:rsidP="003613DA">
      <w:pPr>
        <w:spacing w:after="60" w:line="240" w:lineRule="auto"/>
        <w:ind w:firstLine="288"/>
        <w:jc w:val="both"/>
        <w:rPr>
          <w:rFonts w:ascii="Arial" w:eastAsia="Times New Roman" w:hAnsi="Arial" w:cs="Arial"/>
          <w:sz w:val="18"/>
          <w:szCs w:val="24"/>
          <w:lang w:eastAsia="es-ES"/>
        </w:rPr>
      </w:pPr>
      <w:r w:rsidRPr="003613DA">
        <w:rPr>
          <w:rFonts w:ascii="Arial" w:eastAsia="Times New Roman" w:hAnsi="Arial" w:cs="Arial"/>
          <w:sz w:val="18"/>
          <w:szCs w:val="24"/>
          <w:lang w:eastAsia="es-ES"/>
        </w:rPr>
        <w:t>En el supuesto a que se refiere el párrafo anterior, el monto máximo de las penas convencionales por atraso será del veinte por ciento del monto del contrato, salvo cuando se trate de licitantes que se ubiquen en el supuesto señalado en la fracción IX del artículo 42 de la Ley, caso en el cual el monto máximo de las penas convencionales será del diez por ciento.</w:t>
      </w:r>
    </w:p>
    <w:p w:rsidR="003613DA" w:rsidRPr="003613DA" w:rsidRDefault="003613DA" w:rsidP="003613DA">
      <w:pPr>
        <w:spacing w:after="60" w:line="240" w:lineRule="auto"/>
        <w:ind w:firstLine="288"/>
        <w:jc w:val="both"/>
        <w:rPr>
          <w:rFonts w:ascii="Arial" w:eastAsia="Times New Roman" w:hAnsi="Arial" w:cs="Arial"/>
          <w:sz w:val="18"/>
          <w:szCs w:val="20"/>
          <w:lang w:val="es-ES" w:eastAsia="es-ES"/>
        </w:rPr>
      </w:pPr>
      <w:r w:rsidRPr="003613DA">
        <w:rPr>
          <w:rFonts w:ascii="Arial" w:eastAsia="Times New Roman" w:hAnsi="Arial" w:cs="Arial"/>
          <w:sz w:val="18"/>
          <w:szCs w:val="20"/>
          <w:lang w:val="es-ES" w:eastAsia="es-ES"/>
        </w:rPr>
        <w:t>Si en los supuestos a que se refiere el artículo 45 Bis de la Ley la ejecución de los trabajos concluye antes de la formalización del contrato correspondiente, no se solicitará la presentación de la garantía de cumplimiento ni la incorporación de cláusulas penales; sin embargo, deberá exigirse la garantía de los defectos, vicios ocultos y cualquier otra responsabilidad en términos del artículo 66 de la Ley.</w:t>
      </w:r>
    </w:p>
    <w:p w:rsidR="003613DA" w:rsidRPr="003613DA" w:rsidRDefault="003613DA" w:rsidP="003613DA">
      <w:pPr>
        <w:spacing w:after="60" w:line="240" w:lineRule="auto"/>
        <w:ind w:firstLine="288"/>
        <w:jc w:val="both"/>
        <w:rPr>
          <w:rFonts w:ascii="Arial" w:eastAsia="Times New Roman" w:hAnsi="Arial" w:cs="Arial"/>
          <w:sz w:val="18"/>
          <w:szCs w:val="20"/>
          <w:lang w:val="es-ES_tradnl" w:eastAsia="es-ES"/>
        </w:rPr>
      </w:pPr>
      <w:r w:rsidRPr="003613DA">
        <w:rPr>
          <w:rFonts w:ascii="Arial" w:eastAsia="Times New Roman" w:hAnsi="Arial" w:cs="Arial"/>
          <w:sz w:val="18"/>
          <w:szCs w:val="20"/>
          <w:lang w:val="es-ES_tradnl" w:eastAsia="es-ES"/>
        </w:rPr>
        <w:t>Las dependencias y entidades considerarán la posibilidad de que las garantías de cumplimiento, de anticipo o por vicios ocultos se entreguen por medios electrónicos, siempre que las disposiciones jurídicas aplicables permitan la constitución de garantías por dichos medios.</w:t>
      </w:r>
    </w:p>
    <w:p w:rsidR="003613DA" w:rsidRPr="003613DA" w:rsidRDefault="003613DA" w:rsidP="003613DA">
      <w:pPr>
        <w:spacing w:after="50" w:line="220" w:lineRule="exact"/>
        <w:ind w:firstLine="288"/>
        <w:jc w:val="both"/>
        <w:rPr>
          <w:rFonts w:ascii="Arial" w:eastAsia="Times New Roman" w:hAnsi="Arial" w:cs="Arial"/>
          <w:sz w:val="18"/>
          <w:szCs w:val="20"/>
          <w:lang w:val="es-ES_tradnl" w:eastAsia="es-ES"/>
        </w:rPr>
      </w:pPr>
      <w:r w:rsidRPr="003613DA">
        <w:rPr>
          <w:rFonts w:ascii="Arial" w:eastAsia="Times New Roman" w:hAnsi="Arial" w:cs="Arial"/>
          <w:sz w:val="18"/>
          <w:szCs w:val="20"/>
          <w:lang w:val="es-ES" w:eastAsia="es-ES"/>
        </w:rPr>
        <w:t>Sin perjuicio de lo dispuesto en el primer párrafo del artículo 92 de este Reglamento, las dependencias y entidades, una vez cumplidas las obligaciones del contratista a su satisfacción y entregada la garantía a que se refieren los párrafos primero y segundo del artículo 66 de la Ley, procederán inmediatamente a través del servidor público facultado, a levantar el acta administrativa que dé por extinguidos los derechos y obligaciones derivados del contrato, a efecto de que se inicien los trámites para la cancelación de la garantía de cumplimiento del contrato. Igual obligación tendrán las dependencias y entidades para la garantía correspondiente a los anticipos, cuando éstos se encuentren totalmente amortizados</w:t>
      </w:r>
      <w:r w:rsidRPr="003613DA">
        <w:rPr>
          <w:rFonts w:ascii="Arial" w:eastAsia="Times New Roman" w:hAnsi="Arial" w:cs="Arial"/>
          <w:sz w:val="18"/>
          <w:szCs w:val="20"/>
          <w:lang w:val="es-ES_tradnl" w:eastAsia="es-ES"/>
        </w:rPr>
        <w:t>.</w:t>
      </w:r>
    </w:p>
    <w:p w:rsidR="003613DA" w:rsidRPr="003613DA" w:rsidRDefault="003613DA" w:rsidP="003613DA">
      <w:pPr>
        <w:spacing w:after="50" w:line="220" w:lineRule="exact"/>
        <w:ind w:firstLine="288"/>
        <w:jc w:val="both"/>
        <w:rPr>
          <w:rFonts w:ascii="Arial" w:eastAsia="Times New Roman" w:hAnsi="Arial" w:cs="Arial"/>
          <w:sz w:val="18"/>
          <w:szCs w:val="20"/>
          <w:lang w:val="es-ES" w:eastAsia="es-ES"/>
        </w:rPr>
      </w:pPr>
      <w:r w:rsidRPr="003613DA">
        <w:rPr>
          <w:rFonts w:ascii="Arial" w:eastAsia="Times New Roman" w:hAnsi="Arial" w:cs="Arial"/>
          <w:sz w:val="18"/>
          <w:szCs w:val="20"/>
          <w:lang w:val="es-ES" w:eastAsia="es-ES"/>
        </w:rPr>
        <w:t>Las dependencias que lleven a cabo la cancelación de garantías deberán comunicarlo a la Tesorería de la Federación dentro de los quince días hábiles siguientes a la cancelación.</w:t>
      </w:r>
    </w:p>
    <w:p w:rsidR="003613DA" w:rsidRPr="003613DA" w:rsidRDefault="003613DA" w:rsidP="003613DA">
      <w:pPr>
        <w:spacing w:after="50" w:line="220" w:lineRule="exact"/>
        <w:ind w:firstLine="288"/>
        <w:jc w:val="both"/>
        <w:rPr>
          <w:rFonts w:ascii="Arial" w:eastAsia="Times New Roman" w:hAnsi="Arial" w:cs="Arial"/>
          <w:sz w:val="18"/>
          <w:szCs w:val="20"/>
          <w:lang w:val="es-ES" w:eastAsia="es-ES"/>
        </w:rPr>
      </w:pPr>
      <w:r w:rsidRPr="003613DA">
        <w:rPr>
          <w:rFonts w:ascii="Arial" w:eastAsia="Times New Roman" w:hAnsi="Arial" w:cs="Arial"/>
          <w:b/>
          <w:sz w:val="18"/>
          <w:szCs w:val="20"/>
          <w:lang w:val="es-ES" w:eastAsia="es-ES"/>
        </w:rPr>
        <w:t>Artículo 91.-</w:t>
      </w:r>
      <w:r w:rsidRPr="003613DA">
        <w:rPr>
          <w:rFonts w:ascii="Arial" w:eastAsia="Times New Roman" w:hAnsi="Arial" w:cs="Arial"/>
          <w:sz w:val="18"/>
          <w:szCs w:val="20"/>
          <w:lang w:val="es-ES" w:eastAsia="es-ES"/>
        </w:rPr>
        <w:t xml:space="preserve"> La garantía de cumplimiento de las obligaciones derivadas del contrato no podrá ser menor al diez por ciento del monto total autorizado al contrato en cada ejercicio, sin perjuicio de lo dispuesto en el artículo 48 de la Ley. La garantía de cumplimiento se hará efectiva por el monto total de la obligación garantizada salvo que, por la naturaleza de las obras y servicios, en el contrato se haya estipulado la divisibilidad de la misma.</w:t>
      </w:r>
    </w:p>
    <w:p w:rsidR="003613DA" w:rsidRPr="003613DA" w:rsidRDefault="003613DA" w:rsidP="003613DA">
      <w:pPr>
        <w:spacing w:after="50" w:line="220" w:lineRule="exact"/>
        <w:ind w:firstLine="288"/>
        <w:jc w:val="both"/>
        <w:rPr>
          <w:rFonts w:ascii="Arial" w:eastAsia="Times New Roman" w:hAnsi="Arial" w:cs="Arial"/>
          <w:sz w:val="18"/>
          <w:szCs w:val="20"/>
          <w:lang w:val="es-ES" w:eastAsia="es-ES"/>
        </w:rPr>
      </w:pPr>
      <w:r w:rsidRPr="003613DA">
        <w:rPr>
          <w:rFonts w:ascii="Arial" w:eastAsia="Times New Roman" w:hAnsi="Arial" w:cs="Arial"/>
          <w:sz w:val="18"/>
          <w:szCs w:val="20"/>
          <w:lang w:val="es-ES" w:eastAsia="es-ES"/>
        </w:rPr>
        <w:t>La garantía de cumplimiento deberá ser entregada a la dependencia o entidad dentro de los quince días naturales siguientes a la fecha en que el licitante a quien se le haya adjudicado el contrato reciba la notificación del fallo, pero invariablemente antes de la firma del contrato.</w:t>
      </w:r>
    </w:p>
    <w:p w:rsidR="003613DA" w:rsidRPr="003613DA" w:rsidRDefault="003613DA" w:rsidP="003613DA">
      <w:pPr>
        <w:spacing w:after="50" w:line="220" w:lineRule="exact"/>
        <w:ind w:firstLine="288"/>
        <w:jc w:val="both"/>
        <w:rPr>
          <w:rFonts w:ascii="Arial" w:eastAsia="Times New Roman" w:hAnsi="Arial" w:cs="Arial"/>
          <w:sz w:val="18"/>
          <w:szCs w:val="20"/>
          <w:lang w:val="es-ES" w:eastAsia="es-ES"/>
        </w:rPr>
      </w:pPr>
      <w:r w:rsidRPr="003613DA">
        <w:rPr>
          <w:rFonts w:ascii="Arial" w:eastAsia="Times New Roman" w:hAnsi="Arial" w:cs="Arial"/>
          <w:sz w:val="18"/>
          <w:szCs w:val="20"/>
          <w:lang w:val="es-ES" w:eastAsia="es-ES"/>
        </w:rPr>
        <w:t>En aquellos contratos cuyo plazo de ejecución supere un ejercicio presupuestal, se estará a lo dispuesto en el artículo 92 de este Reglamento.</w:t>
      </w:r>
    </w:p>
    <w:p w:rsidR="003613DA" w:rsidRPr="003613DA" w:rsidRDefault="003613DA" w:rsidP="003613DA">
      <w:pPr>
        <w:spacing w:after="50" w:line="220" w:lineRule="exact"/>
        <w:ind w:firstLine="288"/>
        <w:jc w:val="both"/>
        <w:rPr>
          <w:rFonts w:ascii="Arial" w:eastAsia="Times New Roman" w:hAnsi="Arial" w:cs="Arial"/>
          <w:sz w:val="18"/>
          <w:szCs w:val="20"/>
          <w:lang w:val="es-ES" w:eastAsia="es-ES"/>
        </w:rPr>
      </w:pPr>
      <w:r w:rsidRPr="003613DA">
        <w:rPr>
          <w:rFonts w:ascii="Arial" w:eastAsia="Times New Roman" w:hAnsi="Arial" w:cs="Arial"/>
          <w:sz w:val="18"/>
          <w:szCs w:val="20"/>
          <w:lang w:val="es-ES" w:eastAsia="es-ES"/>
        </w:rPr>
        <w:t xml:space="preserve">Las modificaciones en monto o plazo de los contratos conllevarán el respectivo ajuste a la garantía de cumplimiento. Cuando se trate de un incremento en el monto o una ampliación en el plazo que no se encuentren cubiertos por la garantía originalmente otorgada, deberá estipularse en el convenio modificatorio respectivo el plazo para entregar la ampliación de la garantía, el cual no deberá exceder de diez días </w:t>
      </w:r>
      <w:r w:rsidRPr="003613DA">
        <w:rPr>
          <w:rFonts w:ascii="Arial" w:eastAsia="Times New Roman" w:hAnsi="Arial" w:cs="Arial"/>
          <w:sz w:val="18"/>
          <w:szCs w:val="20"/>
          <w:lang w:val="es-ES" w:eastAsia="es-ES"/>
        </w:rPr>
        <w:lastRenderedPageBreak/>
        <w:t>naturales siguientes a la firma de dicho convenio, así como incluirse una cláusula resolutoria del convenio en el caso de que la ampliación de garantía no sea entregada en el plazo señalado. Tratándose de fianza, el ajuste correspondiente se realizará conforme a lo dispuesto por la fracción II y el último párrafo del artículo 98 del presente Reglamento.</w:t>
      </w:r>
    </w:p>
    <w:p w:rsidR="003613DA" w:rsidRPr="003613DA" w:rsidRDefault="003613DA" w:rsidP="003613DA">
      <w:pPr>
        <w:spacing w:after="50" w:line="220" w:lineRule="exact"/>
        <w:ind w:firstLine="288"/>
        <w:jc w:val="both"/>
        <w:rPr>
          <w:rFonts w:ascii="Arial" w:eastAsia="Times New Roman" w:hAnsi="Arial" w:cs="Arial"/>
          <w:sz w:val="18"/>
          <w:szCs w:val="20"/>
          <w:lang w:val="es-ES" w:eastAsia="es-ES"/>
        </w:rPr>
      </w:pPr>
      <w:r w:rsidRPr="003613DA">
        <w:rPr>
          <w:rFonts w:ascii="Arial" w:eastAsia="Times New Roman" w:hAnsi="Arial" w:cs="Arial"/>
          <w:b/>
          <w:sz w:val="18"/>
          <w:szCs w:val="20"/>
          <w:lang w:val="es-ES" w:eastAsia="es-ES"/>
        </w:rPr>
        <w:t>Artículo 92.-</w:t>
      </w:r>
      <w:r w:rsidRPr="003613DA">
        <w:rPr>
          <w:rFonts w:ascii="Arial" w:eastAsia="Times New Roman" w:hAnsi="Arial" w:cs="Arial"/>
          <w:sz w:val="18"/>
          <w:szCs w:val="20"/>
          <w:lang w:val="es-ES" w:eastAsia="es-ES"/>
        </w:rPr>
        <w:t xml:space="preserve"> Cuando los trabajos se realicen en más de un ejercicio presupuestario, la garantía de cumplimiento deberá sustituirse en el o los siguientes ejercicios en proporción al monto autorizado para el ejercicio presupuestal de que se trate, considerando los trabajos faltantes de ejecutar conforme al programa convenido actualizando los importes de acuerdo con los ajustes de costos autorizados y las modificaciones contractuales. En estos casos la garantía de cumplimiento sustituta deberá ser entregada a la dependencia o entidad dentro de los 15 días naturales siguientes a la fecha en que el monto de la inversión autorizada se notifique al contratista.</w:t>
      </w:r>
    </w:p>
    <w:p w:rsidR="003613DA" w:rsidRPr="003613DA" w:rsidRDefault="003613DA" w:rsidP="003613DA">
      <w:pPr>
        <w:spacing w:after="50" w:line="220" w:lineRule="exact"/>
        <w:ind w:firstLine="288"/>
        <w:jc w:val="both"/>
        <w:rPr>
          <w:rFonts w:ascii="Arial" w:eastAsia="Times New Roman" w:hAnsi="Arial" w:cs="Arial"/>
          <w:sz w:val="18"/>
          <w:szCs w:val="20"/>
          <w:lang w:val="es-ES" w:eastAsia="es-ES"/>
        </w:rPr>
      </w:pPr>
      <w:r w:rsidRPr="003613DA">
        <w:rPr>
          <w:rFonts w:ascii="Arial" w:eastAsia="Times New Roman" w:hAnsi="Arial" w:cs="Arial"/>
          <w:sz w:val="18"/>
          <w:szCs w:val="20"/>
          <w:lang w:val="es-ES" w:eastAsia="es-ES"/>
        </w:rPr>
        <w:t>A petición del contratista, la dependencia o entidad podrá acceder a que no se sustituya la garantía otorgada en el primer ejercicio fiscal, siempre que continúe vigente y su importe mantenga la misma proporción que la del primer ejercicio en relación con el valor actualizado de los trabajos faltantes por ejecutar en cada ejercicio siguiente. Tratándose de fianza, el ajuste correspondiente se realizará conforme a lo dispuesto por la fracción II y el último párrafo del artículo 98 del presente Reglamento.</w:t>
      </w:r>
    </w:p>
    <w:p w:rsidR="003613DA" w:rsidRDefault="003613DA" w:rsidP="003613DA">
      <w:pPr>
        <w:spacing w:after="64" w:line="240" w:lineRule="auto"/>
        <w:ind w:firstLine="288"/>
        <w:jc w:val="both"/>
        <w:rPr>
          <w:rFonts w:ascii="Arial" w:eastAsia="Times New Roman" w:hAnsi="Arial" w:cs="Arial"/>
          <w:b/>
          <w:sz w:val="18"/>
          <w:szCs w:val="24"/>
          <w:lang w:eastAsia="es-ES"/>
        </w:rPr>
      </w:pPr>
      <w:r w:rsidRPr="003613DA">
        <w:rPr>
          <w:rFonts w:ascii="Times New Roman" w:eastAsia="Times New Roman" w:hAnsi="Times New Roman" w:cs="Times New Roman"/>
          <w:b/>
          <w:sz w:val="24"/>
          <w:szCs w:val="24"/>
          <w:lang w:val="es-ES_tradnl" w:eastAsia="es-ES"/>
        </w:rPr>
        <w:t xml:space="preserve">Artículo 93.- </w:t>
      </w:r>
      <w:r w:rsidRPr="003613DA">
        <w:rPr>
          <w:rFonts w:ascii="Times New Roman" w:eastAsia="Times New Roman" w:hAnsi="Times New Roman" w:cs="Times New Roman"/>
          <w:sz w:val="24"/>
          <w:szCs w:val="24"/>
          <w:lang w:val="es-ES" w:eastAsia="es-ES"/>
        </w:rPr>
        <w:t>Una vez que haya sido constituida y entregada a la dependencia o entidad la garantía a que alude el artículo 66 de la Ley, la garantía de cumplimiento otorgada en el primer ejercicio, en caso de que no haya sido sustituida, o la garantía otorgada en el último ejercicio de ejecución de los trabajos, se podrán cancelar</w:t>
      </w:r>
      <w:bookmarkStart w:id="0" w:name="_GoBack"/>
      <w:bookmarkEnd w:id="0"/>
    </w:p>
    <w:sectPr w:rsidR="003613DA">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142C"/>
    <w:rsid w:val="0001587F"/>
    <w:rsid w:val="00111CA8"/>
    <w:rsid w:val="00191177"/>
    <w:rsid w:val="002815CE"/>
    <w:rsid w:val="003613DA"/>
    <w:rsid w:val="00413DB3"/>
    <w:rsid w:val="00457BE9"/>
    <w:rsid w:val="00473543"/>
    <w:rsid w:val="00495979"/>
    <w:rsid w:val="00692AD0"/>
    <w:rsid w:val="006950E2"/>
    <w:rsid w:val="006F7B91"/>
    <w:rsid w:val="00800CAE"/>
    <w:rsid w:val="008F780B"/>
    <w:rsid w:val="00923585"/>
    <w:rsid w:val="009719B5"/>
    <w:rsid w:val="00B32B83"/>
    <w:rsid w:val="00CE5063"/>
    <w:rsid w:val="00E83FDB"/>
    <w:rsid w:val="00EE42A6"/>
    <w:rsid w:val="00F020DB"/>
    <w:rsid w:val="00F5142C"/>
    <w:rsid w:val="00F719B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Texto">
    <w:name w:val="Texto"/>
    <w:basedOn w:val="Normal"/>
    <w:rsid w:val="00F5142C"/>
    <w:pPr>
      <w:spacing w:after="101" w:line="216" w:lineRule="exact"/>
      <w:ind w:firstLine="288"/>
      <w:jc w:val="both"/>
    </w:pPr>
    <w:rPr>
      <w:rFonts w:ascii="Arial" w:eastAsia="Times New Roman" w:hAnsi="Arial" w:cs="Arial"/>
      <w:sz w:val="18"/>
      <w:szCs w:val="20"/>
      <w:lang w:val="es-ES" w:eastAsia="es-ES"/>
    </w:rPr>
  </w:style>
  <w:style w:type="paragraph" w:customStyle="1" w:styleId="Titulo1">
    <w:name w:val="Titulo 1"/>
    <w:basedOn w:val="Texto"/>
    <w:rsid w:val="00F5142C"/>
    <w:pPr>
      <w:pBdr>
        <w:bottom w:val="single" w:sz="12" w:space="1" w:color="auto"/>
      </w:pBdr>
      <w:spacing w:before="120" w:after="0" w:line="240" w:lineRule="auto"/>
      <w:ind w:firstLine="0"/>
      <w:outlineLvl w:val="0"/>
    </w:pPr>
    <w:rPr>
      <w:rFonts w:ascii="Times New Roman" w:hAnsi="Times New Roman"/>
      <w:b/>
      <w:szCs w:val="18"/>
      <w:lang w:val="es-MX" w:eastAsia="es-MX"/>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Texto">
    <w:name w:val="Texto"/>
    <w:basedOn w:val="Normal"/>
    <w:rsid w:val="00F5142C"/>
    <w:pPr>
      <w:spacing w:after="101" w:line="216" w:lineRule="exact"/>
      <w:ind w:firstLine="288"/>
      <w:jc w:val="both"/>
    </w:pPr>
    <w:rPr>
      <w:rFonts w:ascii="Arial" w:eastAsia="Times New Roman" w:hAnsi="Arial" w:cs="Arial"/>
      <w:sz w:val="18"/>
      <w:szCs w:val="20"/>
      <w:lang w:val="es-ES" w:eastAsia="es-ES"/>
    </w:rPr>
  </w:style>
  <w:style w:type="paragraph" w:customStyle="1" w:styleId="Titulo1">
    <w:name w:val="Titulo 1"/>
    <w:basedOn w:val="Texto"/>
    <w:rsid w:val="00F5142C"/>
    <w:pPr>
      <w:pBdr>
        <w:bottom w:val="single" w:sz="12" w:space="1" w:color="auto"/>
      </w:pBdr>
      <w:spacing w:before="120" w:after="0" w:line="240" w:lineRule="auto"/>
      <w:ind w:firstLine="0"/>
      <w:outlineLvl w:val="0"/>
    </w:pPr>
    <w:rPr>
      <w:rFonts w:ascii="Times New Roman" w:hAnsi="Times New Roman"/>
      <w:b/>
      <w:szCs w:val="18"/>
      <w:lang w:val="es-MX"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1053</Words>
  <Characters>5792</Characters>
  <Application>Microsoft Office Word</Application>
  <DocSecurity>0</DocSecurity>
  <Lines>48</Lines>
  <Paragraphs>13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6832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Miguel Angel Cardenas de la Peña</dc:creator>
  <cp:lastModifiedBy>Miguel Angel Cardenas de la Peña</cp:lastModifiedBy>
  <cp:revision>2</cp:revision>
  <dcterms:created xsi:type="dcterms:W3CDTF">2013-04-10T18:51:00Z</dcterms:created>
  <dcterms:modified xsi:type="dcterms:W3CDTF">2013-04-10T18:51:00Z</dcterms:modified>
</cp:coreProperties>
</file>